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5522C" w:rsidP="0075522C">
      <w:pPr>
        <w:spacing w:line="480" w:lineRule="auto"/>
        <w:jc w:val="center"/>
        <w:rPr>
          <w:rFonts w:ascii="Times New Roman" w:hAnsi="Times New Roman" w:cs="Times New Roman"/>
          <w:sz w:val="24"/>
          <w:szCs w:val="24"/>
        </w:rPr>
      </w:pPr>
    </w:p>
    <w:p w:rsidR="0075522C" w:rsidP="0075522C">
      <w:pPr>
        <w:spacing w:line="480" w:lineRule="auto"/>
        <w:jc w:val="center"/>
        <w:rPr>
          <w:rFonts w:ascii="Times New Roman" w:hAnsi="Times New Roman" w:cs="Times New Roman"/>
          <w:sz w:val="24"/>
          <w:szCs w:val="24"/>
        </w:rPr>
      </w:pPr>
    </w:p>
    <w:p w:rsidR="0075522C" w:rsidP="0075522C">
      <w:pPr>
        <w:spacing w:line="480" w:lineRule="auto"/>
        <w:jc w:val="center"/>
        <w:rPr>
          <w:rFonts w:ascii="Times New Roman" w:hAnsi="Times New Roman" w:cs="Times New Roman"/>
          <w:sz w:val="24"/>
          <w:szCs w:val="24"/>
        </w:rPr>
      </w:pPr>
    </w:p>
    <w:p w:rsidR="0075522C" w:rsidP="0075522C">
      <w:pPr>
        <w:spacing w:line="480" w:lineRule="auto"/>
        <w:jc w:val="center"/>
        <w:rPr>
          <w:rFonts w:ascii="Times New Roman" w:hAnsi="Times New Roman" w:cs="Times New Roman"/>
          <w:sz w:val="24"/>
          <w:szCs w:val="24"/>
        </w:rPr>
      </w:pPr>
    </w:p>
    <w:p w:rsidR="0075522C" w:rsidP="0075522C">
      <w:pPr>
        <w:spacing w:line="480" w:lineRule="auto"/>
        <w:jc w:val="center"/>
        <w:rPr>
          <w:rFonts w:ascii="Times New Roman" w:hAnsi="Times New Roman" w:cs="Times New Roman"/>
          <w:sz w:val="24"/>
          <w:szCs w:val="24"/>
        </w:rPr>
      </w:pPr>
    </w:p>
    <w:p w:rsidR="0075522C" w:rsidP="0075522C">
      <w:pPr>
        <w:spacing w:line="480" w:lineRule="auto"/>
        <w:jc w:val="center"/>
        <w:rPr>
          <w:rFonts w:ascii="Times New Roman" w:hAnsi="Times New Roman" w:cs="Times New Roman"/>
          <w:sz w:val="24"/>
          <w:szCs w:val="24"/>
        </w:rPr>
      </w:pPr>
    </w:p>
    <w:p w:rsidR="0075522C" w:rsidP="0075522C">
      <w:pPr>
        <w:spacing w:line="480" w:lineRule="auto"/>
        <w:jc w:val="center"/>
        <w:rPr>
          <w:rFonts w:ascii="Times New Roman" w:hAnsi="Times New Roman" w:cs="Times New Roman"/>
          <w:sz w:val="24"/>
          <w:szCs w:val="24"/>
        </w:rPr>
      </w:pPr>
    </w:p>
    <w:p w:rsidR="0075522C" w:rsidP="0075522C">
      <w:pPr>
        <w:spacing w:line="480" w:lineRule="auto"/>
        <w:jc w:val="center"/>
        <w:rPr>
          <w:rFonts w:ascii="Times New Roman" w:hAnsi="Times New Roman" w:cs="Times New Roman"/>
          <w:sz w:val="24"/>
          <w:szCs w:val="24"/>
        </w:rPr>
      </w:pPr>
    </w:p>
    <w:p w:rsidR="0075522C" w:rsidP="0075522C">
      <w:pPr>
        <w:spacing w:line="480" w:lineRule="auto"/>
        <w:jc w:val="center"/>
        <w:rPr>
          <w:rFonts w:ascii="Times New Roman" w:hAnsi="Times New Roman" w:cs="Times New Roman"/>
          <w:sz w:val="24"/>
          <w:szCs w:val="24"/>
        </w:rPr>
      </w:pPr>
    </w:p>
    <w:p w:rsidR="0075522C" w:rsidP="0075522C">
      <w:pPr>
        <w:spacing w:line="480" w:lineRule="auto"/>
        <w:jc w:val="center"/>
        <w:rPr>
          <w:rFonts w:ascii="Times New Roman" w:hAnsi="Times New Roman" w:cs="Times New Roman"/>
          <w:sz w:val="24"/>
          <w:szCs w:val="24"/>
        </w:rPr>
      </w:pPr>
      <w:r>
        <w:rPr>
          <w:rFonts w:ascii="Times New Roman" w:hAnsi="Times New Roman" w:cs="Times New Roman"/>
          <w:sz w:val="24"/>
          <w:szCs w:val="24"/>
        </w:rPr>
        <w:t>Implementation of Electronic Health Record (HER) System</w:t>
      </w:r>
    </w:p>
    <w:p w:rsidR="0075522C" w:rsidP="0075522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5522C" w:rsidRPr="0075522C" w:rsidP="0075522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5522C" w:rsidP="0075522C">
      <w:pPr>
        <w:tabs>
          <w:tab w:val="left" w:pos="1545"/>
        </w:tabs>
      </w:pPr>
      <w:r>
        <w:tab/>
      </w:r>
    </w:p>
    <w:p w:rsidR="0075522C" w:rsidRPr="0075522C" w:rsidP="0075522C"/>
    <w:p w:rsidR="0075522C" w:rsidRPr="0075522C" w:rsidP="0075522C"/>
    <w:p w:rsidR="0075522C" w:rsidRPr="0075522C" w:rsidP="0075522C"/>
    <w:p w:rsidR="0075522C" w:rsidP="0075522C"/>
    <w:p w:rsidR="0080412D" w:rsidP="0075522C"/>
    <w:p w:rsidR="0075522C" w:rsidP="0075522C"/>
    <w:p w:rsidR="0075522C" w:rsidP="0075522C"/>
    <w:p w:rsidR="0075522C" w:rsidP="0075522C">
      <w:pPr>
        <w:spacing w:line="480" w:lineRule="auto"/>
        <w:jc w:val="center"/>
        <w:rPr>
          <w:rFonts w:ascii="Times New Roman" w:hAnsi="Times New Roman" w:cs="Times New Roman"/>
          <w:sz w:val="24"/>
          <w:szCs w:val="24"/>
        </w:rPr>
      </w:pPr>
      <w:r>
        <w:rPr>
          <w:rFonts w:ascii="Times New Roman" w:hAnsi="Times New Roman" w:cs="Times New Roman"/>
          <w:sz w:val="24"/>
          <w:szCs w:val="24"/>
        </w:rPr>
        <w:t>Implementation of Electronic Health Record (HER) System</w:t>
      </w:r>
    </w:p>
    <w:p w:rsidR="0075522C" w:rsidP="008E1822">
      <w:pPr>
        <w:spacing w:line="480" w:lineRule="auto"/>
        <w:rPr>
          <w:rFonts w:ascii="Times New Roman" w:hAnsi="Times New Roman" w:cs="Times New Roman"/>
          <w:sz w:val="24"/>
          <w:szCs w:val="24"/>
        </w:rPr>
      </w:pPr>
      <w:r>
        <w:tab/>
      </w:r>
      <w:r w:rsidR="008E1822">
        <w:rPr>
          <w:rFonts w:ascii="Times New Roman" w:hAnsi="Times New Roman" w:cs="Times New Roman"/>
          <w:sz w:val="24"/>
          <w:szCs w:val="24"/>
        </w:rPr>
        <w:t>Selecting the right vendor of an EHR system is often a daunting task, but with the right decision-making framework, care facilities can land the best software that meets their healthcare needs. In the face of tough decision-making, caregivers should not overlook fine details since they are likely to have significant financial and care delivery impacts. In this regard, every stakeholder should be actively engaged to ensure a holistic tech solution is identified. The paper provides a conceptual framework of the factors to consider when making critical decisions concerning the right vendor and the critical success factor in the case study. Besides, it gives insight into the recommendations that can be made to the chief information officer (CIO) and chief executive officer (</w:t>
      </w:r>
      <w:r w:rsidR="00F753B3">
        <w:rPr>
          <w:rFonts w:ascii="Times New Roman" w:hAnsi="Times New Roman" w:cs="Times New Roman"/>
          <w:sz w:val="24"/>
          <w:szCs w:val="24"/>
        </w:rPr>
        <w:t xml:space="preserve">CEO) based on the request for proposals (RFPs). </w:t>
      </w:r>
    </w:p>
    <w:p w:rsidR="00E5502D" w:rsidP="008E1822">
      <w:pPr>
        <w:spacing w:line="480" w:lineRule="auto"/>
        <w:rPr>
          <w:rFonts w:ascii="Times New Roman" w:hAnsi="Times New Roman" w:cs="Times New Roman"/>
          <w:sz w:val="24"/>
          <w:szCs w:val="24"/>
        </w:rPr>
      </w:pPr>
      <w:r>
        <w:rPr>
          <w:rFonts w:ascii="Times New Roman" w:hAnsi="Times New Roman" w:cs="Times New Roman"/>
          <w:sz w:val="24"/>
          <w:szCs w:val="24"/>
        </w:rPr>
        <w:tab/>
        <w:t>The most critical pieces of information for the decision-making process will be based on the abilities of the vendors’ products to accomplish the objectives of the hospital. Therefore, as the manager of CTU health care systems, I</w:t>
      </w:r>
      <w:r w:rsidR="005C2442">
        <w:rPr>
          <w:rFonts w:ascii="Times New Roman" w:hAnsi="Times New Roman" w:cs="Times New Roman"/>
          <w:sz w:val="24"/>
          <w:szCs w:val="24"/>
        </w:rPr>
        <w:t xml:space="preserve"> need to determine the pricing including the costs for software, hardware, interfaces, implementation assistance, and maintenance fee (HealthIT.gov, n. d). Besides, I need to determine the EHR capabilities and functionalities, such as server options</w:t>
      </w:r>
      <w:r>
        <w:rPr>
          <w:rFonts w:ascii="Times New Roman" w:hAnsi="Times New Roman" w:cs="Times New Roman"/>
          <w:sz w:val="24"/>
          <w:szCs w:val="24"/>
        </w:rPr>
        <w:t xml:space="preserve"> </w:t>
      </w:r>
      <w:r w:rsidR="005C2442">
        <w:rPr>
          <w:rFonts w:ascii="Times New Roman" w:hAnsi="Times New Roman" w:cs="Times New Roman"/>
          <w:sz w:val="24"/>
          <w:szCs w:val="24"/>
        </w:rPr>
        <w:t xml:space="preserve">and security features. </w:t>
      </w:r>
      <w:r w:rsidR="006349D0">
        <w:rPr>
          <w:rFonts w:ascii="Times New Roman" w:hAnsi="Times New Roman" w:cs="Times New Roman"/>
          <w:sz w:val="24"/>
          <w:szCs w:val="24"/>
        </w:rPr>
        <w:t xml:space="preserve"> Also, the system should incorporate a computerized order entry (CPOE) module, </w:t>
      </w:r>
      <w:r>
        <w:rPr>
          <w:rFonts w:ascii="Times New Roman" w:hAnsi="Times New Roman" w:cs="Times New Roman"/>
          <w:sz w:val="24"/>
          <w:szCs w:val="24"/>
        </w:rPr>
        <w:t xml:space="preserve">clinical notification functionality, and drug interaction framework capabilities. </w:t>
      </w:r>
      <w:r w:rsidR="00B1161E">
        <w:rPr>
          <w:rFonts w:ascii="Times New Roman" w:hAnsi="Times New Roman" w:cs="Times New Roman"/>
          <w:sz w:val="24"/>
          <w:szCs w:val="24"/>
        </w:rPr>
        <w:t xml:space="preserve">The system selected should be easy to use to ensure that the workflow of the acute care unit is not slowed down. </w:t>
      </w:r>
    </w:p>
    <w:p w:rsidR="00005E12" w:rsidP="00E5502D">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w:t>
      </w:r>
      <w:r w:rsidR="00B1161E">
        <w:rPr>
          <w:rFonts w:ascii="Times New Roman" w:hAnsi="Times New Roman" w:cs="Times New Roman"/>
          <w:sz w:val="24"/>
          <w:szCs w:val="24"/>
        </w:rPr>
        <w:t xml:space="preserve">he interoperability of the system selected needs to be such that that </w:t>
      </w:r>
      <w:r w:rsidR="006349D0">
        <w:rPr>
          <w:rFonts w:ascii="Times New Roman" w:hAnsi="Times New Roman" w:cs="Times New Roman"/>
          <w:sz w:val="24"/>
          <w:szCs w:val="24"/>
        </w:rPr>
        <w:t xml:space="preserve">patient data can be transferred from one care unit to another. Besides, the risks and requirements for testing, implementation, and design of the multiple interfaces of the system should be minimal as </w:t>
      </w:r>
      <w:r w:rsidR="006349D0">
        <w:rPr>
          <w:rFonts w:ascii="Times New Roman" w:hAnsi="Times New Roman" w:cs="Times New Roman"/>
          <w:sz w:val="24"/>
          <w:szCs w:val="24"/>
        </w:rPr>
        <w:t xml:space="preserve">possible. </w:t>
      </w:r>
      <w:r>
        <w:rPr>
          <w:rFonts w:ascii="Times New Roman" w:hAnsi="Times New Roman" w:cs="Times New Roman"/>
          <w:sz w:val="24"/>
          <w:szCs w:val="24"/>
        </w:rPr>
        <w:t xml:space="preserve">However, the embedded patient registration features for both acute care units should be the most crucial consideration for the system since the facility's primary objective. The decision-making process should be based on the ability of the software to integrate </w:t>
      </w:r>
      <w:r>
        <w:rPr>
          <w:rFonts w:ascii="Times New Roman" w:hAnsi="Times New Roman" w:cs="Times New Roman"/>
          <w:sz w:val="24"/>
          <w:szCs w:val="24"/>
        </w:rPr>
        <w:t>the registration systems of both the physician and office settings. In the end, the vendor selected should be able to provide holistic IT solution to the facility that will be economically feasible in the future; therefore, I will need to evaluate the pros and cons of implementing the existing EHR or installing a new one.</w:t>
      </w:r>
    </w:p>
    <w:p w:rsidR="00164291" w:rsidP="00E550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I will need to ensure that the system is cloud-based as opposed to provider-hosted since it will help reduce maintenance costs. Besides, additional expenditure on technical support and outsourcing will be significantly reduced (Scott, 2017). Also, the selected software should be able </w:t>
      </w:r>
      <w:r>
        <w:rPr>
          <w:rFonts w:ascii="Times New Roman" w:hAnsi="Times New Roman" w:cs="Times New Roman"/>
          <w:sz w:val="24"/>
          <w:szCs w:val="24"/>
        </w:rPr>
        <w:t>to have transparent networks that enable data migration in the future. Flexible systems will enable the facility to adapt to the changing care environment (Scott, 2017). In case the practice management system is replaced, I need to determine the ability of the selected software to handle the conversion of interfaces. Lastly, compliance with regulatory standards should be a priority to avoid lawsuits and associated expenses.
</w:t>
      </w:r>
    </w:p>
    <w:p w:rsidR="00F753B3" w:rsidP="00E550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critical success factors for the case study will reflect on the efficiency with which the selected vendor’s product will integrate the physician’s office registration system into the one for acute care. </w:t>
      </w:r>
      <w:r w:rsidR="00F74962">
        <w:rPr>
          <w:rFonts w:ascii="Times New Roman" w:hAnsi="Times New Roman" w:cs="Times New Roman"/>
          <w:sz w:val="24"/>
          <w:szCs w:val="24"/>
        </w:rPr>
        <w:t xml:space="preserve">Therefore, the product chose should either sustain the profit margins of the care facility. As the CTU manager, I will need to ensure that the product for the acute care unit is affordable to the facility to prevent negative short-term and long-term financial effects. For instance, XYZ and QRS EHR systems have a price tag of approximately $50 million, but I am concerned that XYZ has no evidence of a successful installation. In this regard, the XYZ EHR system is likely </w:t>
      </w:r>
      <w:r w:rsidR="001A7C11">
        <w:rPr>
          <w:rFonts w:ascii="Times New Roman" w:hAnsi="Times New Roman" w:cs="Times New Roman"/>
          <w:sz w:val="24"/>
          <w:szCs w:val="24"/>
        </w:rPr>
        <w:t xml:space="preserve">to drain us financially in the future because much money will be spent on </w:t>
      </w:r>
      <w:r w:rsidR="001A7C11">
        <w:rPr>
          <w:rFonts w:ascii="Times New Roman" w:hAnsi="Times New Roman" w:cs="Times New Roman"/>
          <w:sz w:val="24"/>
          <w:szCs w:val="24"/>
        </w:rPr>
        <w:t xml:space="preserve">upgrades and replacements. Besides, a positive impact on the employees' behavioral characteristics is a major success factor that cannot be disregarded. Medical practitioners in both acute care units should have a boost in morale when the system is introduced; otherwise, it will be a flop. </w:t>
      </w:r>
      <w:r w:rsidR="001916FF">
        <w:rPr>
          <w:rFonts w:ascii="Times New Roman" w:hAnsi="Times New Roman" w:cs="Times New Roman"/>
          <w:sz w:val="24"/>
          <w:szCs w:val="24"/>
        </w:rPr>
        <w:t xml:space="preserve"> Human resources responding positively should reflect on the leadership and ease of communication (</w:t>
      </w:r>
      <w:r w:rsidR="001916FF">
        <w:rPr>
          <w:rFonts w:ascii="Times New Roman" w:hAnsi="Times New Roman" w:cs="Times New Roman"/>
          <w:sz w:val="24"/>
          <w:szCs w:val="24"/>
        </w:rPr>
        <w:t>Safdari</w:t>
      </w:r>
      <w:r w:rsidR="001916FF">
        <w:rPr>
          <w:rFonts w:ascii="Times New Roman" w:hAnsi="Times New Roman" w:cs="Times New Roman"/>
          <w:sz w:val="24"/>
          <w:szCs w:val="24"/>
        </w:rPr>
        <w:t xml:space="preserve">, </w:t>
      </w:r>
      <w:r w:rsidR="001916FF">
        <w:rPr>
          <w:rFonts w:ascii="Times New Roman" w:hAnsi="Times New Roman" w:cs="Times New Roman"/>
          <w:sz w:val="24"/>
          <w:szCs w:val="24"/>
        </w:rPr>
        <w:t>Ghazisaeidi</w:t>
      </w:r>
      <w:r w:rsidR="001916FF">
        <w:rPr>
          <w:rFonts w:ascii="Times New Roman" w:hAnsi="Times New Roman" w:cs="Times New Roman"/>
          <w:sz w:val="24"/>
          <w:szCs w:val="24"/>
        </w:rPr>
        <w:t xml:space="preserve">, &amp; </w:t>
      </w:r>
      <w:r w:rsidR="001916FF">
        <w:rPr>
          <w:rFonts w:ascii="Times New Roman" w:hAnsi="Times New Roman" w:cs="Times New Roman"/>
          <w:sz w:val="24"/>
          <w:szCs w:val="24"/>
        </w:rPr>
        <w:t>Jebraeily</w:t>
      </w:r>
      <w:r w:rsidR="001916FF">
        <w:rPr>
          <w:rFonts w:ascii="Times New Roman" w:hAnsi="Times New Roman" w:cs="Times New Roman"/>
          <w:sz w:val="24"/>
          <w:szCs w:val="24"/>
        </w:rPr>
        <w:t xml:space="preserve">, 2015). </w:t>
      </w:r>
      <w:r w:rsidR="001A7C11">
        <w:rPr>
          <w:rFonts w:ascii="Times New Roman" w:hAnsi="Times New Roman" w:cs="Times New Roman"/>
          <w:sz w:val="24"/>
          <w:szCs w:val="24"/>
        </w:rPr>
        <w:t xml:space="preserve">Lastly, the products should meet the technical and care requirements of the facility </w:t>
      </w:r>
      <w:r w:rsidR="001916FF">
        <w:rPr>
          <w:rFonts w:ascii="Times New Roman" w:hAnsi="Times New Roman" w:cs="Times New Roman"/>
          <w:sz w:val="24"/>
          <w:szCs w:val="24"/>
        </w:rPr>
        <w:t xml:space="preserve">by providing a communication framework for both registration systems. </w:t>
      </w:r>
    </w:p>
    <w:p w:rsidR="001916FF" w:rsidP="00E550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recommendations to the CIO, and the CEO will revolve around evidence-based explanatory framework obtained the products' vendors. I will advise them to ignore ABC Systems Consulting since it is not competent enough to meet the risks and the time requirements for the implementation project. Therefore, doing business will come with an additional timeline and monetary requirements that the hospital is not prepared for. </w:t>
      </w:r>
      <w:r w:rsidR="004F7F1D">
        <w:rPr>
          <w:rFonts w:ascii="Times New Roman" w:hAnsi="Times New Roman" w:cs="Times New Roman"/>
          <w:sz w:val="24"/>
          <w:szCs w:val="24"/>
        </w:rPr>
        <w:t>Even though XYZ EHR proposes a redeveloped system for both facilities that have a CPOE module, customizable clinical notification, and standardized drug interaction features, it has never installed it successfully. Therefore, the care facility will be taking a significant risk in spite of the prospect that a redeveloped system is easily interoperable since it has some functionalities of the existing EHR. I will recommend that they go for QRS EHR Systems' product since it has experience with acute care facilities. Besides, it has all the functionalities that XYZ EHR proposed as well as a</w:t>
      </w:r>
      <w:r w:rsidR="00FE2B6B">
        <w:rPr>
          <w:rFonts w:ascii="Times New Roman" w:hAnsi="Times New Roman" w:cs="Times New Roman"/>
          <w:sz w:val="24"/>
          <w:szCs w:val="24"/>
        </w:rPr>
        <w:t>n</w:t>
      </w:r>
      <w:r w:rsidR="004F7F1D">
        <w:rPr>
          <w:rFonts w:ascii="Times New Roman" w:hAnsi="Times New Roman" w:cs="Times New Roman"/>
          <w:sz w:val="24"/>
          <w:szCs w:val="24"/>
        </w:rPr>
        <w:t xml:space="preserve"> evidence-based clinical notification feature</w:t>
      </w:r>
      <w:r w:rsidR="00FE2B6B">
        <w:rPr>
          <w:rFonts w:ascii="Times New Roman" w:hAnsi="Times New Roman" w:cs="Times New Roman"/>
          <w:sz w:val="24"/>
          <w:szCs w:val="24"/>
        </w:rPr>
        <w:t>. Its minimal experience in integrating the registration systems should not be a concern to the company since it is leading EHR-provider, and it can outsource to make functionality possible.
</w:t>
      </w:r>
    </w:p>
    <w:p w:rsidR="00FE2B6B" w:rsidP="00E550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several factors must be considered based on the available information before selecting a vendor. They include price, product functionalities, ability to </w:t>
      </w:r>
      <w:r>
        <w:rPr>
          <w:rFonts w:ascii="Times New Roman" w:hAnsi="Times New Roman" w:cs="Times New Roman"/>
          <w:sz w:val="24"/>
          <w:szCs w:val="24"/>
        </w:rPr>
        <w:t xml:space="preserve">integrate with other systems, and operability. Other considerations include legal requirements, flexibility, and server system. The critical success </w:t>
      </w:r>
      <w:r>
        <w:rPr>
          <w:rFonts w:ascii="Times New Roman" w:hAnsi="Times New Roman" w:cs="Times New Roman"/>
          <w:sz w:val="24"/>
          <w:szCs w:val="24"/>
        </w:rPr>
        <w:t>factor include</w:t>
      </w:r>
      <w:r>
        <w:rPr>
          <w:rFonts w:ascii="Times New Roman" w:hAnsi="Times New Roman" w:cs="Times New Roman"/>
          <w:sz w:val="24"/>
          <w:szCs w:val="24"/>
        </w:rPr>
        <w:t>s profitability, positive impact on human resource, and the ability to meet all technical needs.
</w:t>
      </w: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E5502D">
      <w:pPr>
        <w:spacing w:line="480" w:lineRule="auto"/>
        <w:ind w:firstLine="720"/>
        <w:rPr>
          <w:rFonts w:ascii="Times New Roman" w:hAnsi="Times New Roman" w:cs="Times New Roman"/>
          <w:sz w:val="24"/>
          <w:szCs w:val="24"/>
        </w:rPr>
      </w:pPr>
    </w:p>
    <w:p w:rsidR="00FE2B6B" w:rsidP="00FE2B6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FE2B6B" w:rsidP="00FE2B6B">
      <w:pPr>
        <w:spacing w:line="480" w:lineRule="auto"/>
        <w:rPr>
          <w:rFonts w:ascii="Times New Roman" w:hAnsi="Times New Roman" w:cs="Times New Roman"/>
          <w:sz w:val="24"/>
          <w:szCs w:val="24"/>
        </w:rPr>
      </w:pPr>
      <w:r>
        <w:rPr>
          <w:rFonts w:ascii="Times New Roman" w:hAnsi="Times New Roman" w:cs="Times New Roman"/>
          <w:sz w:val="24"/>
          <w:szCs w:val="24"/>
        </w:rPr>
        <w:t>HealthIT.gov. (n. d).</w:t>
      </w:r>
      <w:r>
        <w:rPr>
          <w:rFonts w:ascii="Times New Roman" w:hAnsi="Times New Roman" w:cs="Times New Roman"/>
          <w:sz w:val="24"/>
          <w:szCs w:val="24"/>
        </w:rPr>
        <w:t xml:space="preserve"> What factors should I consider when selecting a vendor? Retrieved from</w:t>
      </w:r>
    </w:p>
    <w:p w:rsidR="00FE2B6B" w:rsidP="00FE2B6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FE2B6B">
          <w:rPr>
            <w:rStyle w:val="Hyperlink"/>
            <w:rFonts w:ascii="Times New Roman" w:hAnsi="Times New Roman" w:cs="Times New Roman"/>
            <w:sz w:val="24"/>
            <w:szCs w:val="24"/>
          </w:rPr>
          <w:t>https://www.healthit.gov/faq/</w:t>
        </w:r>
        <w:bookmarkStart w:id="0" w:name="_GoBack"/>
        <w:bookmarkEnd w:id="0"/>
        <w:r w:rsidRPr="00FE2B6B">
          <w:rPr>
            <w:rStyle w:val="Hyperlink"/>
            <w:rFonts w:ascii="Times New Roman" w:hAnsi="Times New Roman" w:cs="Times New Roman"/>
            <w:sz w:val="24"/>
            <w:szCs w:val="24"/>
          </w:rPr>
          <w:t>what-factors-should-i-consider-when-selecting-vendor</w:t>
        </w:r>
      </w:hyperlink>
    </w:p>
    <w:p w:rsidR="00FE2B6B" w:rsidP="00FE2B6B">
      <w:pPr>
        <w:spacing w:line="480" w:lineRule="auto"/>
        <w:rPr>
          <w:rFonts w:ascii="Times New Roman" w:hAnsi="Times New Roman" w:cs="Times New Roman"/>
          <w:sz w:val="24"/>
          <w:szCs w:val="24"/>
        </w:rPr>
      </w:pPr>
      <w:r>
        <w:rPr>
          <w:rFonts w:ascii="Times New Roman" w:hAnsi="Times New Roman" w:cs="Times New Roman"/>
          <w:sz w:val="24"/>
          <w:szCs w:val="24"/>
        </w:rPr>
        <w:t>Safdari</w:t>
      </w:r>
      <w:r>
        <w:rPr>
          <w:rFonts w:ascii="Times New Roman" w:hAnsi="Times New Roman" w:cs="Times New Roman"/>
          <w:sz w:val="24"/>
          <w:szCs w:val="24"/>
        </w:rPr>
        <w:t xml:space="preserve">, R., </w:t>
      </w:r>
      <w:r>
        <w:rPr>
          <w:rFonts w:ascii="Times New Roman" w:hAnsi="Times New Roman" w:cs="Times New Roman"/>
          <w:sz w:val="24"/>
          <w:szCs w:val="24"/>
        </w:rPr>
        <w:t>Ghazisaeidi</w:t>
      </w:r>
      <w:r>
        <w:rPr>
          <w:rFonts w:ascii="Times New Roman" w:hAnsi="Times New Roman" w:cs="Times New Roman"/>
          <w:sz w:val="24"/>
          <w:szCs w:val="24"/>
        </w:rPr>
        <w:t xml:space="preserve">, M., &amp; </w:t>
      </w:r>
      <w:r>
        <w:rPr>
          <w:rFonts w:ascii="Times New Roman" w:hAnsi="Times New Roman" w:cs="Times New Roman"/>
          <w:sz w:val="24"/>
          <w:szCs w:val="24"/>
        </w:rPr>
        <w:t>Jebraeily</w:t>
      </w:r>
      <w:r>
        <w:rPr>
          <w:rFonts w:ascii="Times New Roman" w:hAnsi="Times New Roman" w:cs="Times New Roman"/>
          <w:sz w:val="24"/>
          <w:szCs w:val="24"/>
        </w:rPr>
        <w:t>, M. (2015).</w:t>
      </w:r>
      <w:r>
        <w:rPr>
          <w:rFonts w:ascii="Times New Roman" w:hAnsi="Times New Roman" w:cs="Times New Roman"/>
          <w:sz w:val="24"/>
          <w:szCs w:val="24"/>
        </w:rPr>
        <w:t xml:space="preserve"> Electronic health records: Critical success</w:t>
      </w:r>
    </w:p>
    <w:p w:rsidR="000B19E1" w:rsidRPr="000B19E1" w:rsidP="00FE2B6B">
      <w:pPr>
        <w:spacing w:line="480" w:lineRule="auto"/>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f</w:t>
      </w:r>
      <w:r>
        <w:rPr>
          <w:rFonts w:ascii="Times New Roman" w:hAnsi="Times New Roman" w:cs="Times New Roman"/>
          <w:sz w:val="24"/>
          <w:szCs w:val="24"/>
        </w:rPr>
        <w:t>actors</w:t>
      </w:r>
      <w:r>
        <w:rPr>
          <w:rFonts w:ascii="Times New Roman" w:hAnsi="Times New Roman" w:cs="Times New Roman"/>
          <w:sz w:val="24"/>
          <w:szCs w:val="24"/>
        </w:rPr>
        <w:t xml:space="preserve"> in implementation</w:t>
      </w:r>
      <w:r>
        <w:rPr>
          <w:rFonts w:ascii="Times New Roman" w:hAnsi="Times New Roman" w:cs="Times New Roman"/>
          <w:sz w:val="24"/>
          <w:szCs w:val="24"/>
        </w:rPr>
        <w:t xml:space="preserve">. </w:t>
      </w:r>
      <w:r w:rsidRPr="000B19E1">
        <w:rPr>
          <w:rFonts w:ascii="Times New Roman" w:hAnsi="Times New Roman" w:cs="Times New Roman"/>
          <w:i/>
          <w:sz w:val="24"/>
          <w:szCs w:val="24"/>
        </w:rPr>
        <w:t>Journal of Academy of Medical Sciences of Bosnia and</w:t>
      </w:r>
    </w:p>
    <w:p w:rsidR="00FE2B6B" w:rsidP="00FE2B6B">
      <w:pPr>
        <w:spacing w:line="480" w:lineRule="auto"/>
        <w:rPr>
          <w:rFonts w:ascii="Times New Roman" w:hAnsi="Times New Roman" w:cs="Times New Roman"/>
          <w:sz w:val="24"/>
          <w:szCs w:val="24"/>
        </w:rPr>
      </w:pPr>
      <w:r w:rsidRPr="000B19E1">
        <w:rPr>
          <w:rFonts w:ascii="Times New Roman" w:hAnsi="Times New Roman" w:cs="Times New Roman"/>
          <w:i/>
          <w:sz w:val="24"/>
          <w:szCs w:val="24"/>
        </w:rPr>
        <w:tab/>
        <w:t>Herzegovina,</w:t>
      </w:r>
      <w:r>
        <w:rPr>
          <w:rFonts w:ascii="Times New Roman" w:hAnsi="Times New Roman" w:cs="Times New Roman"/>
          <w:sz w:val="24"/>
          <w:szCs w:val="24"/>
        </w:rPr>
        <w:t xml:space="preserve"> 23(2), 102-104.</w:t>
      </w:r>
      <w:r>
        <w:rPr>
          <w:rFonts w:ascii="Times New Roman" w:hAnsi="Times New Roman" w:cs="Times New Roman"/>
          <w:sz w:val="24"/>
          <w:szCs w:val="24"/>
        </w:rPr>
        <w:t xml:space="preserve"> </w:t>
      </w:r>
    </w:p>
    <w:p w:rsidR="00FE2B6B" w:rsidP="00FE2B6B">
      <w:pPr>
        <w:spacing w:line="480" w:lineRule="auto"/>
        <w:rPr>
          <w:rFonts w:ascii="Times New Roman" w:hAnsi="Times New Roman" w:cs="Times New Roman"/>
          <w:sz w:val="24"/>
          <w:szCs w:val="24"/>
        </w:rPr>
      </w:pPr>
      <w:r>
        <w:rPr>
          <w:rFonts w:ascii="Times New Roman" w:hAnsi="Times New Roman" w:cs="Times New Roman"/>
          <w:sz w:val="24"/>
          <w:szCs w:val="24"/>
        </w:rPr>
        <w:t xml:space="preserve">Scott, N. (2017). </w:t>
      </w:r>
      <w:r>
        <w:rPr>
          <w:rFonts w:ascii="Times New Roman" w:hAnsi="Times New Roman" w:cs="Times New Roman"/>
          <w:sz w:val="24"/>
          <w:szCs w:val="24"/>
        </w:rPr>
        <w:t>Selecting the right HER system.</w:t>
      </w:r>
      <w:r>
        <w:rPr>
          <w:rFonts w:ascii="Times New Roman" w:hAnsi="Times New Roman" w:cs="Times New Roman"/>
          <w:sz w:val="24"/>
          <w:szCs w:val="24"/>
        </w:rPr>
        <w:t xml:space="preserve"> </w:t>
      </w:r>
      <w:r>
        <w:rPr>
          <w:rFonts w:ascii="Times New Roman" w:hAnsi="Times New Roman" w:cs="Times New Roman"/>
          <w:sz w:val="24"/>
          <w:szCs w:val="24"/>
        </w:rPr>
        <w:t>TekTegrity</w:t>
      </w:r>
      <w:r>
        <w:rPr>
          <w:rFonts w:ascii="Times New Roman" w:hAnsi="Times New Roman" w:cs="Times New Roman"/>
          <w:sz w:val="24"/>
          <w:szCs w:val="24"/>
        </w:rPr>
        <w:t>.</w:t>
      </w:r>
      <w:r>
        <w:rPr>
          <w:rFonts w:ascii="Times New Roman" w:hAnsi="Times New Roman" w:cs="Times New Roman"/>
          <w:sz w:val="24"/>
          <w:szCs w:val="24"/>
        </w:rPr>
        <w:t xml:space="preserve"> Retrieved from</w:t>
      </w:r>
    </w:p>
    <w:p w:rsidR="00FE2B6B" w:rsidRPr="008E1822" w:rsidP="00FE2B6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FE2B6B">
          <w:rPr>
            <w:rStyle w:val="Hyperlink"/>
            <w:rFonts w:ascii="Times New Roman" w:hAnsi="Times New Roman" w:cs="Times New Roman"/>
            <w:sz w:val="24"/>
            <w:szCs w:val="24"/>
          </w:rPr>
          <w:t>https://www.tektegrity.com/news-and-articles/2017/01/10/selecting-the-right-ehr-system/</w:t>
        </w:r>
      </w:hyperlink>
    </w:p>
    <w:sectPr w:rsidSect="0075522C">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22C" w:rsidRPr="0075522C" w:rsidP="0075522C">
    <w:pPr>
      <w:pStyle w:val="Header"/>
      <w:spacing w:line="480" w:lineRule="auto"/>
      <w:rPr>
        <w:rFonts w:ascii="Times New Roman" w:hAnsi="Times New Roman" w:cs="Times New Roman"/>
        <w:sz w:val="24"/>
        <w:szCs w:val="24"/>
      </w:rPr>
    </w:pPr>
    <w:r w:rsidRPr="0075522C">
      <w:rPr>
        <w:rFonts w:ascii="Times New Roman" w:hAnsi="Times New Roman" w:cs="Times New Roman"/>
        <w:sz w:val="24"/>
        <w:szCs w:val="24"/>
      </w:rPr>
      <w:t>CTU HEALTHCARE SYSTEMS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5522C">
      <w:rPr>
        <w:rFonts w:ascii="Times New Roman" w:hAnsi="Times New Roman" w:cs="Times New Roman"/>
        <w:sz w:val="24"/>
        <w:szCs w:val="24"/>
      </w:rPr>
      <w:t xml:space="preserve"> </w:t>
    </w:r>
    <w:sdt>
      <w:sdtPr>
        <w:rPr>
          <w:rFonts w:ascii="Times New Roman" w:hAnsi="Times New Roman" w:cs="Times New Roman"/>
          <w:sz w:val="24"/>
          <w:szCs w:val="24"/>
        </w:rPr>
        <w:id w:val="-722216461"/>
        <w:docPartObj>
          <w:docPartGallery w:val="Page Numbers (Top of Page)"/>
          <w:docPartUnique/>
        </w:docPartObj>
      </w:sdtPr>
      <w:sdtEndPr>
        <w:rPr>
          <w:noProof/>
        </w:rPr>
      </w:sdtEndPr>
      <w:sdtContent>
        <w:r w:rsidRPr="0075522C">
          <w:rPr>
            <w:rFonts w:ascii="Times New Roman" w:hAnsi="Times New Roman" w:cs="Times New Roman"/>
            <w:sz w:val="24"/>
            <w:szCs w:val="24"/>
          </w:rPr>
          <w:fldChar w:fldCharType="begin"/>
        </w:r>
        <w:r w:rsidRPr="0075522C">
          <w:rPr>
            <w:rFonts w:ascii="Times New Roman" w:hAnsi="Times New Roman" w:cs="Times New Roman"/>
            <w:sz w:val="24"/>
            <w:szCs w:val="24"/>
          </w:rPr>
          <w:instrText xml:space="preserve"> PAGE   \* MERGEFORMAT </w:instrText>
        </w:r>
        <w:r w:rsidRPr="0075522C">
          <w:rPr>
            <w:rFonts w:ascii="Times New Roman" w:hAnsi="Times New Roman" w:cs="Times New Roman"/>
            <w:sz w:val="24"/>
            <w:szCs w:val="24"/>
          </w:rPr>
          <w:fldChar w:fldCharType="separate"/>
        </w:r>
        <w:r w:rsidR="000B19E1">
          <w:rPr>
            <w:rFonts w:ascii="Times New Roman" w:hAnsi="Times New Roman" w:cs="Times New Roman"/>
            <w:noProof/>
            <w:sz w:val="24"/>
            <w:szCs w:val="24"/>
          </w:rPr>
          <w:t>6</w:t>
        </w:r>
        <w:r w:rsidRPr="0075522C">
          <w:rPr>
            <w:rFonts w:ascii="Times New Roman" w:hAnsi="Times New Roman" w:cs="Times New Roman"/>
            <w:noProof/>
            <w:sz w:val="24"/>
            <w:szCs w:val="24"/>
          </w:rPr>
          <w:fldChar w:fldCharType="end"/>
        </w:r>
      </w:sdtContent>
    </w:sdt>
  </w:p>
  <w:p w:rsidR="007552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22C" w:rsidRPr="0075522C" w:rsidP="0075522C">
    <w:pPr>
      <w:pStyle w:val="Header"/>
      <w:spacing w:line="480" w:lineRule="auto"/>
      <w:rPr>
        <w:rFonts w:ascii="Times New Roman" w:hAnsi="Times New Roman" w:cs="Times New Roman"/>
        <w:sz w:val="24"/>
        <w:szCs w:val="24"/>
      </w:rPr>
    </w:pPr>
    <w:r w:rsidRPr="0075522C">
      <w:rPr>
        <w:rFonts w:ascii="Times New Roman" w:hAnsi="Times New Roman" w:cs="Times New Roman"/>
        <w:sz w:val="24"/>
        <w:szCs w:val="24"/>
      </w:rPr>
      <w:t>Running head:  CTU HEALTHCARE SYSTEMS</w:t>
    </w:r>
    <w:r>
      <w:rPr>
        <w:rFonts w:ascii="Times New Roman" w:hAnsi="Times New Roman" w:cs="Times New Roman"/>
        <w:sz w:val="24"/>
        <w:szCs w:val="24"/>
      </w:rPr>
      <w:tab/>
    </w:r>
    <w:r>
      <w:rPr>
        <w:rFonts w:ascii="Times New Roman" w:hAnsi="Times New Roman" w:cs="Times New Roman"/>
        <w:sz w:val="24"/>
        <w:szCs w:val="24"/>
      </w:rPr>
      <w:tab/>
    </w:r>
    <w:r w:rsidRPr="0075522C">
      <w:rPr>
        <w:rFonts w:ascii="Times New Roman" w:hAnsi="Times New Roman" w:cs="Times New Roman"/>
        <w:sz w:val="24"/>
        <w:szCs w:val="24"/>
      </w:rPr>
      <w:t xml:space="preserve"> </w:t>
    </w:r>
    <w:sdt>
      <w:sdtPr>
        <w:rPr>
          <w:rFonts w:ascii="Times New Roman" w:hAnsi="Times New Roman" w:cs="Times New Roman"/>
          <w:sz w:val="24"/>
          <w:szCs w:val="24"/>
        </w:rPr>
        <w:id w:val="1964384293"/>
        <w:docPartObj>
          <w:docPartGallery w:val="Page Numbers (Top of Page)"/>
          <w:docPartUnique/>
        </w:docPartObj>
      </w:sdtPr>
      <w:sdtEndPr>
        <w:rPr>
          <w:noProof/>
        </w:rPr>
      </w:sdtEndPr>
      <w:sdtContent>
        <w:r w:rsidRPr="0075522C">
          <w:rPr>
            <w:rFonts w:ascii="Times New Roman" w:hAnsi="Times New Roman" w:cs="Times New Roman"/>
            <w:sz w:val="24"/>
            <w:szCs w:val="24"/>
          </w:rPr>
          <w:fldChar w:fldCharType="begin"/>
        </w:r>
        <w:r w:rsidRPr="0075522C">
          <w:rPr>
            <w:rFonts w:ascii="Times New Roman" w:hAnsi="Times New Roman" w:cs="Times New Roman"/>
            <w:sz w:val="24"/>
            <w:szCs w:val="24"/>
          </w:rPr>
          <w:instrText xml:space="preserve"> PAGE   \* MERGEFORMAT </w:instrText>
        </w:r>
        <w:r w:rsidRPr="0075522C">
          <w:rPr>
            <w:rFonts w:ascii="Times New Roman" w:hAnsi="Times New Roman" w:cs="Times New Roman"/>
            <w:sz w:val="24"/>
            <w:szCs w:val="24"/>
          </w:rPr>
          <w:fldChar w:fldCharType="separate"/>
        </w:r>
        <w:r w:rsidR="001A7C11">
          <w:rPr>
            <w:rFonts w:ascii="Times New Roman" w:hAnsi="Times New Roman" w:cs="Times New Roman"/>
            <w:noProof/>
            <w:sz w:val="24"/>
            <w:szCs w:val="24"/>
          </w:rPr>
          <w:t>1</w:t>
        </w:r>
        <w:r w:rsidRPr="0075522C">
          <w:rPr>
            <w:rFonts w:ascii="Times New Roman" w:hAnsi="Times New Roman" w:cs="Times New Roman"/>
            <w:noProof/>
            <w:sz w:val="24"/>
            <w:szCs w:val="24"/>
          </w:rPr>
          <w:fldChar w:fldCharType="end"/>
        </w:r>
      </w:sdtContent>
    </w:sdt>
  </w:p>
  <w:p w:rsidR="007552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22C"/>
    <w:rsid w:val="00005E12"/>
    <w:rsid w:val="000B19E1"/>
    <w:rsid w:val="00164291"/>
    <w:rsid w:val="00182558"/>
    <w:rsid w:val="001916FF"/>
    <w:rsid w:val="001A7C11"/>
    <w:rsid w:val="001D2666"/>
    <w:rsid w:val="004F7F1D"/>
    <w:rsid w:val="005C2442"/>
    <w:rsid w:val="006349D0"/>
    <w:rsid w:val="0075522C"/>
    <w:rsid w:val="0080412D"/>
    <w:rsid w:val="008E1822"/>
    <w:rsid w:val="00B1161E"/>
    <w:rsid w:val="00BD4F4E"/>
    <w:rsid w:val="00E5502D"/>
    <w:rsid w:val="00F74962"/>
    <w:rsid w:val="00F753B3"/>
    <w:rsid w:val="00FE2B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22C"/>
  </w:style>
  <w:style w:type="paragraph" w:styleId="Footer">
    <w:name w:val="footer"/>
    <w:basedOn w:val="Normal"/>
    <w:link w:val="FooterChar"/>
    <w:uiPriority w:val="99"/>
    <w:unhideWhenUsed/>
    <w:rsid w:val="00755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22C"/>
  </w:style>
  <w:style w:type="character" w:styleId="Hyperlink">
    <w:name w:val="Hyperlink"/>
    <w:basedOn w:val="DefaultParagraphFont"/>
    <w:uiPriority w:val="99"/>
    <w:unhideWhenUsed/>
    <w:rsid w:val="00FE2B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ealthit.gov/faq/what-factors-should-i-consider-when-selecting-vendor" TargetMode="External" /><Relationship Id="rId5" Type="http://schemas.openxmlformats.org/officeDocument/2006/relationships/hyperlink" Target="https://www.tektegrity.com/news-and-articles/2017/01/10/selecting-the-right-ehr-syste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6</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2019-06-12T18:37:00Z</dcterms:created>
  <dcterms:modified xsi:type="dcterms:W3CDTF">2019-06-12T21:49:00Z</dcterms:modified>
</cp:coreProperties>
</file>